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91D12">
        <w:rPr>
          <w:rFonts w:ascii="Times New Roman" w:hAnsi="Times New Roman" w:cs="Times New Roman"/>
          <w:b/>
          <w:sz w:val="24"/>
          <w:szCs w:val="24"/>
        </w:rPr>
        <w:t>/</w:t>
      </w:r>
      <w:r w:rsidR="00F91D12" w:rsidRPr="00F91D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91D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ПАРТНЬОРИТЕ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:rsidR="00F91D12" w:rsidRPr="00F91D12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F91D12" w:rsidRPr="00F91D12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кандидатите по Оперативна Програма „Развитие на Човешките Ресурси“ 2014 – 2020 г. е разработена в изпълнение на член 125, ал. 3, т.(г) от Регламент 1303/2013, член 196, ал. 1 от Регламент 1268/2012 и член 202, ал. 2 и ал. 3 от Регламент 1268/2012.</w:t>
      </w:r>
    </w:p>
    <w:p w:rsidR="00F91D12" w:rsidRPr="00F91D12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При подаване на проектни предложения кандидатите трябва да представят счетоводен баланс за предходната финансова година</w:t>
      </w:r>
      <w:r w:rsidRPr="00F91D12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footnoteReference w:id="1"/>
      </w:r>
      <w:r w:rsidRPr="00F91D12">
        <w:rPr>
          <w:rFonts w:ascii="Times New Roman" w:hAnsi="Times New Roman" w:cs="Times New Roman"/>
          <w:sz w:val="24"/>
          <w:szCs w:val="24"/>
          <w:lang w:val="bg-BG"/>
        </w:rPr>
        <w:t>. В случай че финансовите отчети за предходната финансова година са подадени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F91D12" w:rsidRPr="00F91D12" w:rsidRDefault="00F91D12" w:rsidP="00F91D12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 xml:space="preserve">За кандидати/партньори, </w:t>
      </w:r>
      <w:proofErr w:type="spellStart"/>
      <w:r w:rsidRPr="00F91D12">
        <w:rPr>
          <w:rFonts w:ascii="Times New Roman" w:hAnsi="Times New Roman" w:cs="Times New Roman"/>
          <w:sz w:val="24"/>
          <w:szCs w:val="24"/>
          <w:lang w:val="bg-BG"/>
        </w:rPr>
        <w:t>новорегистрирани</w:t>
      </w:r>
      <w:proofErr w:type="spellEnd"/>
      <w:r w:rsidRPr="00F91D12">
        <w:rPr>
          <w:rFonts w:ascii="Times New Roman" w:hAnsi="Times New Roman" w:cs="Times New Roman"/>
          <w:sz w:val="24"/>
          <w:szCs w:val="24"/>
          <w:lang w:val="bg-BG"/>
        </w:rPr>
        <w:t>/новосъздадени през текущата година организации, следва да се приложи счетоводен баланс в секция 12 на ИСУН 2020 за периода от регистрацията на кандидата/партньора до последната дата на месеца, предхождащ месеца на кандидатстване.</w:t>
      </w: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91D12" w:rsidRPr="00F91D12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F91D12" w:rsidRPr="00F91D12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В случай че оценителната комисия установи, че са налице индикации за затруднено финансово положение на кандидата, комисията ще отхвърли проектното предложение на етап „Административно съответствие и допустимост“.</w:t>
      </w:r>
    </w:p>
    <w:p w:rsidR="00F91D12" w:rsidRPr="00F91D12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методиката</w:t>
      </w: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Оценката за финансова стабилност дава информация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 xml:space="preserve">Оценката се основава на няколко коефициента: </w:t>
      </w:r>
    </w:p>
    <w:p w:rsidR="00F91D12" w:rsidRPr="00F91D12" w:rsidRDefault="00F91D12" w:rsidP="00F91D12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 за финансова независимост</w:t>
      </w:r>
    </w:p>
    <w:p w:rsidR="00F91D12" w:rsidRPr="00F91D12" w:rsidRDefault="00F91D12" w:rsidP="00F91D12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 за рентабилност. </w:t>
      </w:r>
    </w:p>
    <w:p w:rsidR="00F91D12" w:rsidRPr="00F91D12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Методиката отчита специфичните характеристики на кандидатите и може да бъде използвана за организации с различни юридически форми от търговски дружества до организации с нестопанска цел.</w:t>
      </w:r>
    </w:p>
    <w:p w:rsidR="00F91D12" w:rsidRPr="00F91D12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F91D12" w:rsidRPr="00F91D12" w:rsidRDefault="00F91D12" w:rsidP="00F91D12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Коефициентите, които се използват за определяне на нивото на увереност произтичаща от процеса на оценка са следните:</w:t>
      </w:r>
    </w:p>
    <w:p w:rsidR="00F91D12" w:rsidRPr="00F91D12" w:rsidRDefault="00F91D12" w:rsidP="00F91D12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</w:p>
    <w:p w:rsidR="00F91D12" w:rsidRPr="00F91D12" w:rsidRDefault="00F91D12" w:rsidP="00F91D1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:rsidR="00F91D12" w:rsidRPr="00F91D12" w:rsidRDefault="00F91D12" w:rsidP="00F91D12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</m:t>
              </m:r>
              <m:r>
                <w:rPr>
                  <w:rFonts w:ascii="Cambria Math" w:eastAsia="Times New Roman" w:hAnsi="Cambria Math" w:cs="Times New Roman"/>
                  <w:i/>
                  <w:sz w:val="32"/>
                  <w:szCs w:val="32"/>
                  <w:vertAlign w:val="superscript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  <m:r>
                <w:rPr>
                  <w:rFonts w:ascii="Cambria Math" w:eastAsia="Times New Roman" w:hAnsi="Cambria Math" w:cs="Times New Roman"/>
                  <w:i/>
                  <w:sz w:val="32"/>
                  <w:szCs w:val="32"/>
                  <w:vertAlign w:val="superscript"/>
                  <w:lang w:val="bg-BG"/>
                </w:rPr>
                <w:footnoteReference w:id="3"/>
              </m:r>
            </m:den>
          </m:f>
        </m:oMath>
      </m:oMathPara>
    </w:p>
    <w:p w:rsidR="00F91D12" w:rsidRPr="00F91D12" w:rsidRDefault="00F91D12" w:rsidP="00F91D1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91D12" w:rsidRPr="00F91D12" w:rsidRDefault="00F91D12" w:rsidP="00F91D1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F91D12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F91D12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:rsidR="00F91D12" w:rsidRPr="00F91D12" w:rsidRDefault="00F91D12" w:rsidP="00F91D1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Коефициентът на финансова независимост отразява размера на собствения капитал като отношение към общата сума на активите. Това показва до каква степен организациите зависят от финансиране от трета страна. Колкото е по-близо съотношението до 1, толкова по-финансово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коефициентът на финансова независимост, толкова по-трудно ще бъде да получат кредити и външно финансиране.</w:t>
      </w:r>
    </w:p>
    <w:p w:rsidR="00F91D12" w:rsidRPr="00F91D12" w:rsidRDefault="00F91D12" w:rsidP="00F91D12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Коефициентът на рентабилност измерва ефективността с която организациите използват своите активи.</w:t>
      </w:r>
    </w:p>
    <w:p w:rsidR="00F91D12" w:rsidRPr="00F91D12" w:rsidRDefault="00F91D12" w:rsidP="00F91D12">
      <w:pPr>
        <w:numPr>
          <w:ilvl w:val="0"/>
          <w:numId w:val="11"/>
        </w:numPr>
        <w:spacing w:after="120" w:line="360" w:lineRule="auto"/>
        <w:ind w:left="714" w:hanging="357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Оценка</w:t>
      </w:r>
    </w:p>
    <w:p w:rsidR="00F91D12" w:rsidRPr="00F91D12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 или добро) на финансовата стабилност на кандидатите се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F91D12" w:rsidRPr="00F91D12" w:rsidTr="00A348DF">
        <w:tc>
          <w:tcPr>
            <w:tcW w:w="3544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Индикатори</w:t>
            </w:r>
          </w:p>
        </w:tc>
        <w:tc>
          <w:tcPr>
            <w:tcW w:w="3119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F91D12" w:rsidRPr="00F91D12" w:rsidTr="00A348DF">
        <w:tc>
          <w:tcPr>
            <w:tcW w:w="3544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≥ 0,5</w:t>
            </w:r>
          </w:p>
          <w:p w:rsidR="00F91D12" w:rsidRPr="00F91D12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0,4 ≤ ФН &lt; 0,5</w:t>
            </w:r>
          </w:p>
          <w:p w:rsidR="00F91D12" w:rsidRPr="00F91D12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0,3 ≤ ФН &lt; 0,4</w:t>
            </w:r>
          </w:p>
          <w:p w:rsidR="00F91D12" w:rsidRPr="00F91D12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 ≤ ФН &lt; 0,3</w:t>
            </w:r>
          </w:p>
          <w:p w:rsidR="00F91D12" w:rsidRPr="00F91D12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F91D12" w:rsidRPr="00F91D12" w:rsidTr="00A348DF">
        <w:trPr>
          <w:cantSplit/>
        </w:trPr>
        <w:tc>
          <w:tcPr>
            <w:tcW w:w="3544" w:type="dxa"/>
            <w:vAlign w:val="center"/>
          </w:tcPr>
          <w:p w:rsidR="00F91D12" w:rsidRPr="00F91D12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F91D12" w:rsidRPr="00F91D12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2%</w:t>
            </w:r>
          </w:p>
          <w:p w:rsidR="00F91D12" w:rsidRPr="00F91D12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2%</w:t>
            </w:r>
          </w:p>
          <w:p w:rsidR="00F91D12" w:rsidRPr="00F91D12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- 2%</w:t>
            </w:r>
          </w:p>
        </w:tc>
        <w:tc>
          <w:tcPr>
            <w:tcW w:w="1700" w:type="dxa"/>
            <w:vAlign w:val="center"/>
          </w:tcPr>
          <w:p w:rsidR="00F91D12" w:rsidRPr="00F91D12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F91D12" w:rsidRPr="00F91D12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F91D12" w:rsidRPr="00F91D12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F91D12" w:rsidRPr="00F91D12" w:rsidRDefault="00F91D12" w:rsidP="00F91D12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F91D12" w:rsidRPr="00F91D12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F91D12" w:rsidRPr="00F91D12" w:rsidTr="00A348DF">
        <w:tc>
          <w:tcPr>
            <w:tcW w:w="3402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F91D12" w:rsidRPr="00F91D12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F91D12" w:rsidRPr="00F91D12" w:rsidTr="00A348DF">
        <w:tc>
          <w:tcPr>
            <w:tcW w:w="3402" w:type="dxa"/>
            <w:vAlign w:val="center"/>
          </w:tcPr>
          <w:p w:rsidR="00F91D12" w:rsidRPr="00F91D12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F91D12" w:rsidRPr="00F91D12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F91D12" w:rsidRPr="00F91D12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F91D1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F91D12" w:rsidRPr="00F91D12" w:rsidRDefault="00F91D12" w:rsidP="00F91D12">
      <w:pPr>
        <w:numPr>
          <w:ilvl w:val="0"/>
          <w:numId w:val="11"/>
        </w:numPr>
        <w:spacing w:before="480" w:after="240" w:line="360" w:lineRule="auto"/>
        <w:ind w:left="714" w:hanging="357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Тълкуване на резултатите</w:t>
      </w:r>
    </w:p>
    <w:p w:rsidR="00F91D12" w:rsidRPr="00F91D12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На основата на общата оценка кандидатите попадат в две основни категории:</w:t>
      </w:r>
    </w:p>
    <w:p w:rsidR="00F91D12" w:rsidRPr="00F91D12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1. Добра финансова стабилност</w:t>
      </w:r>
    </w:p>
    <w:p w:rsidR="00F91D12" w:rsidRPr="00F91D12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Кандидатът демонстрира стабилен финансов профил. Изпълнени са условията за отпускане на безвъзмездна финансова помощ при нисък риск за средствата предоставяни от ЕС.</w:t>
      </w:r>
    </w:p>
    <w:p w:rsidR="00F91D12" w:rsidRPr="00F91D12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b/>
          <w:sz w:val="24"/>
          <w:szCs w:val="24"/>
          <w:lang w:val="bg-BG"/>
        </w:rPr>
        <w:t>2. Лоша финансова стабилност</w:t>
      </w:r>
    </w:p>
    <w:p w:rsidR="00F91D12" w:rsidRPr="00F91D12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1D12">
        <w:rPr>
          <w:rFonts w:ascii="Times New Roman" w:hAnsi="Times New Roman" w:cs="Times New Roman"/>
          <w:sz w:val="24"/>
          <w:szCs w:val="24"/>
          <w:lang w:val="bg-BG"/>
        </w:rPr>
        <w:t>Оценителната комисия отхвърля проектното предложение на кандидата на етап „Административно съответствие и допустимост“.</w:t>
      </w:r>
    </w:p>
    <w:p w:rsidR="00C4321A" w:rsidRPr="0090257B" w:rsidRDefault="00C4321A" w:rsidP="00F91D12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38D" w:rsidRDefault="009B738D" w:rsidP="00B938A0">
      <w:pPr>
        <w:spacing w:after="0" w:line="240" w:lineRule="auto"/>
      </w:pPr>
      <w:r>
        <w:separator/>
      </w:r>
    </w:p>
  </w:endnote>
  <w:endnote w:type="continuationSeparator" w:id="0">
    <w:p w:rsidR="009B738D" w:rsidRDefault="009B738D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38D" w:rsidRDefault="009B738D" w:rsidP="00B938A0">
      <w:pPr>
        <w:spacing w:after="0" w:line="240" w:lineRule="auto"/>
      </w:pPr>
      <w:r>
        <w:separator/>
      </w:r>
    </w:p>
  </w:footnote>
  <w:footnote w:type="continuationSeparator" w:id="0">
    <w:p w:rsidR="009B738D" w:rsidRDefault="009B738D" w:rsidP="00B938A0">
      <w:pPr>
        <w:spacing w:after="0" w:line="240" w:lineRule="auto"/>
      </w:pPr>
      <w:r>
        <w:continuationSeparator/>
      </w:r>
    </w:p>
  </w:footnote>
  <w:footnote w:id="1">
    <w:p w:rsidR="00F91D12" w:rsidRPr="00AA7520" w:rsidRDefault="00F91D12" w:rsidP="00F91D12">
      <w:pPr>
        <w:pStyle w:val="af0"/>
        <w:rPr>
          <w:lang w:val="bg-BG"/>
        </w:rPr>
      </w:pPr>
      <w:r>
        <w:rPr>
          <w:rStyle w:val="af2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  <w:footnote w:id="2">
    <w:p w:rsidR="00F91D12" w:rsidRPr="007632C1" w:rsidRDefault="00F91D12" w:rsidP="00F91D12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 w:rsidRPr="007632C1">
        <w:rPr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</w:footnote>
  <w:footnote w:id="3">
    <w:p w:rsidR="00F91D12" w:rsidRPr="00DB4FBF" w:rsidRDefault="00F91D12" w:rsidP="00F91D12">
      <w:pPr>
        <w:pStyle w:val="af0"/>
        <w:rPr>
          <w:rFonts w:ascii="Times New Roman" w:hAnsi="Times New Roman" w:cs="Times New Roman"/>
          <w:lang w:val="bg-BG"/>
        </w:rPr>
      </w:pPr>
      <w:r w:rsidRPr="007632C1">
        <w:rPr>
          <w:rStyle w:val="af2"/>
          <w:rFonts w:ascii="Times New Roman" w:hAnsi="Times New Roman" w:cs="Times New Roman"/>
        </w:rPr>
        <w:footnoteRef/>
      </w:r>
      <w:r w:rsidRPr="007632C1">
        <w:rPr>
          <w:rFonts w:ascii="Times New Roman" w:hAnsi="Times New Roman" w:cs="Times New Roman"/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7632C1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„0“ не е 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:rsidR="00F91D12" w:rsidRPr="007632C1" w:rsidRDefault="00F91D12" w:rsidP="00F91D12">
      <w:pPr>
        <w:pStyle w:val="af0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330D5"/>
    <w:rsid w:val="00067A31"/>
    <w:rsid w:val="00102707"/>
    <w:rsid w:val="00106B39"/>
    <w:rsid w:val="00162BE1"/>
    <w:rsid w:val="00180B28"/>
    <w:rsid w:val="001B39F2"/>
    <w:rsid w:val="001D41F5"/>
    <w:rsid w:val="0021304A"/>
    <w:rsid w:val="00225277"/>
    <w:rsid w:val="00265F3F"/>
    <w:rsid w:val="00275BB5"/>
    <w:rsid w:val="002A2527"/>
    <w:rsid w:val="002E05D6"/>
    <w:rsid w:val="002E5988"/>
    <w:rsid w:val="00304175"/>
    <w:rsid w:val="00305095"/>
    <w:rsid w:val="00305CE0"/>
    <w:rsid w:val="003200C9"/>
    <w:rsid w:val="00330143"/>
    <w:rsid w:val="003A4DF2"/>
    <w:rsid w:val="003E50D7"/>
    <w:rsid w:val="003E5162"/>
    <w:rsid w:val="003F4DBC"/>
    <w:rsid w:val="00417DCE"/>
    <w:rsid w:val="004313F7"/>
    <w:rsid w:val="0045595E"/>
    <w:rsid w:val="00471FC2"/>
    <w:rsid w:val="00492ACD"/>
    <w:rsid w:val="00497A27"/>
    <w:rsid w:val="004C375C"/>
    <w:rsid w:val="004E0E1E"/>
    <w:rsid w:val="004F2B1C"/>
    <w:rsid w:val="00540FE6"/>
    <w:rsid w:val="00550B6F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6007DA"/>
    <w:rsid w:val="006369D2"/>
    <w:rsid w:val="0066504F"/>
    <w:rsid w:val="00683044"/>
    <w:rsid w:val="006939C0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52E58"/>
    <w:rsid w:val="00853BE3"/>
    <w:rsid w:val="00861EAB"/>
    <w:rsid w:val="008909E8"/>
    <w:rsid w:val="008951F9"/>
    <w:rsid w:val="008C4A97"/>
    <w:rsid w:val="008C56E2"/>
    <w:rsid w:val="008E4E52"/>
    <w:rsid w:val="00901460"/>
    <w:rsid w:val="0090257B"/>
    <w:rsid w:val="009264A6"/>
    <w:rsid w:val="00942036"/>
    <w:rsid w:val="00970883"/>
    <w:rsid w:val="00996CD1"/>
    <w:rsid w:val="009B6BA8"/>
    <w:rsid w:val="009B738D"/>
    <w:rsid w:val="009C1D21"/>
    <w:rsid w:val="009E4DD1"/>
    <w:rsid w:val="009E6616"/>
    <w:rsid w:val="009F4130"/>
    <w:rsid w:val="009F7052"/>
    <w:rsid w:val="00A12002"/>
    <w:rsid w:val="00AC30D9"/>
    <w:rsid w:val="00B1472B"/>
    <w:rsid w:val="00B25DEA"/>
    <w:rsid w:val="00B60166"/>
    <w:rsid w:val="00B92F46"/>
    <w:rsid w:val="00B938A0"/>
    <w:rsid w:val="00BA0182"/>
    <w:rsid w:val="00BA11D9"/>
    <w:rsid w:val="00BC35FC"/>
    <w:rsid w:val="00BD3499"/>
    <w:rsid w:val="00BD3655"/>
    <w:rsid w:val="00BE205E"/>
    <w:rsid w:val="00BF0B9A"/>
    <w:rsid w:val="00BF6ADB"/>
    <w:rsid w:val="00C01AC6"/>
    <w:rsid w:val="00C4321A"/>
    <w:rsid w:val="00C46FB4"/>
    <w:rsid w:val="00C502A1"/>
    <w:rsid w:val="00CD287E"/>
    <w:rsid w:val="00CF1C47"/>
    <w:rsid w:val="00D10335"/>
    <w:rsid w:val="00D12140"/>
    <w:rsid w:val="00D2243D"/>
    <w:rsid w:val="00D274CD"/>
    <w:rsid w:val="00D52230"/>
    <w:rsid w:val="00D56C7A"/>
    <w:rsid w:val="00D84194"/>
    <w:rsid w:val="00D86AD8"/>
    <w:rsid w:val="00D90B7C"/>
    <w:rsid w:val="00D95438"/>
    <w:rsid w:val="00DC6AA5"/>
    <w:rsid w:val="00DE6775"/>
    <w:rsid w:val="00E15C50"/>
    <w:rsid w:val="00E441C4"/>
    <w:rsid w:val="00E83B40"/>
    <w:rsid w:val="00E905F5"/>
    <w:rsid w:val="00ED38A4"/>
    <w:rsid w:val="00ED4EF0"/>
    <w:rsid w:val="00F1576F"/>
    <w:rsid w:val="00F16FBC"/>
    <w:rsid w:val="00F31669"/>
    <w:rsid w:val="00F34A34"/>
    <w:rsid w:val="00F52830"/>
    <w:rsid w:val="00F63B61"/>
    <w:rsid w:val="00F66FFC"/>
    <w:rsid w:val="00F72A0E"/>
    <w:rsid w:val="00F91D12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1738B-581B-4D96-872C-8E592E14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  <w:style w:type="paragraph" w:styleId="af3">
    <w:name w:val="Revision"/>
    <w:hidden/>
    <w:uiPriority w:val="99"/>
    <w:semiHidden/>
    <w:rsid w:val="003301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F09F-816D-477C-B397-6BF1A594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Fujitsu</cp:lastModifiedBy>
  <cp:revision>103</cp:revision>
  <cp:lastPrinted>2017-05-09T07:27:00Z</cp:lastPrinted>
  <dcterms:created xsi:type="dcterms:W3CDTF">2015-05-14T13:29:00Z</dcterms:created>
  <dcterms:modified xsi:type="dcterms:W3CDTF">2019-11-18T09:43:00Z</dcterms:modified>
</cp:coreProperties>
</file>